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0"/>
        <w:rPr>
          <w:rFonts w:ascii="Times New Roman" w:hAnsi="Times New Roman" w:eastAsia="Times New Roman"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учтенного объекта недвижимости: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Енина Галина Дмитриевна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–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помещение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с кадастровым номером 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23:16: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0202018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 w:ascii="Times New Roman" w:hAnsi="Times New Roman"/>
          <w:b/>
          <w:bCs/>
          <w:color w:val="000000"/>
          <w:sz w:val="28"/>
          <w:szCs w:val="28"/>
          <w:lang w:eastAsia="ru-RU"/>
        </w:rPr>
        <w:t>216</w:t>
      </w:r>
      <w:r>
        <w:rPr>
          <w:rFonts w:ascii="Times New Roman" w:hAnsi="Times New Roman"/>
          <w:b/>
          <w:bCs/>
          <w:sz w:val="28"/>
          <w:szCs w:val="28"/>
        </w:rPr>
        <w:t xml:space="preserve">, расположенное по адресу: Краснодарский край, Курганинский район, ст. </w:t>
      </w:r>
      <w:r>
        <w:rPr>
          <w:rFonts w:ascii="Times New Roman" w:hAnsi="Times New Roman"/>
          <w:b/>
          <w:bCs/>
          <w:sz w:val="28"/>
          <w:szCs w:val="28"/>
        </w:rPr>
        <w:t>Темиргоевская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ул.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Гагарина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65, кв. 3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43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ad1160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sid w:val="00ad1160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InternetLink">
    <w:name w:val="Internet Link"/>
    <w:uiPriority w:val="99"/>
    <w:unhideWhenUsed/>
    <w:qFormat/>
    <w:rsid w:val="00ad1160"/>
    <w:rPr>
      <w:color w:val="0000FF"/>
      <w:u w:val="single"/>
    </w:rPr>
  </w:style>
  <w:style w:type="character" w:styleId="11" w:customStyle="1">
    <w:name w:val="Неразрешенное упоминание1"/>
    <w:uiPriority w:val="99"/>
    <w:semiHidden/>
    <w:unhideWhenUsed/>
    <w:qFormat/>
    <w:rsid w:val="00164b5e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2" w:customStyle="1">
    <w:name w:val="Обычный (Интернет)1"/>
    <w:basedOn w:val="Normal"/>
    <w:uiPriority w:val="99"/>
    <w:semiHidden/>
    <w:unhideWhenUsed/>
    <w:qFormat/>
    <w:rsid w:val="00ad1160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LibreOffice/24.2.6.2$Linux_X86_64 LibreOffice_project/420$Build-2</Application>
  <AppVersion>15.0000</AppVersion>
  <Pages>1</Pages>
  <Words>219</Words>
  <Characters>1690</Characters>
  <CharactersWithSpaces>1967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2023-07-07T11:47:00Z</dcterms:created>
  <dc:creator>Kryukova</dc:creator>
  <dc:description/>
  <dc:language>ru-RU</dc:language>
  <cp:lastModifiedBy/>
  <dcterms:modified xsi:type="dcterms:W3CDTF">2025-12-29T10:56:38Z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